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69CB413D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</w:t>
      </w:r>
      <w:r w:rsidR="004C5FBF">
        <w:rPr>
          <w:sz w:val="32"/>
          <w:szCs w:val="32"/>
        </w:rPr>
        <w:t>6</w:t>
      </w:r>
      <w:r w:rsidRPr="001A3683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</w:t>
      </w:r>
      <w:r w:rsidR="004C5FBF" w:rsidRPr="004C5FBF">
        <w:rPr>
          <w:sz w:val="32"/>
          <w:szCs w:val="32"/>
        </w:rPr>
        <w:t>laboratoř přípravy a analýzy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BA6B6CD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4C5FBF">
                    <w:t>6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802FF6F" w:rsidR="008A29C0" w:rsidRPr="009F2B22" w:rsidRDefault="004C5FBF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Jaroslav Frantík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76004BE3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90496A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5196747A" w:rsidR="00711262" w:rsidRDefault="0090496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4386C0D1" w:rsidR="00711262" w:rsidRDefault="0090496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4869B848" w:rsidR="00711262" w:rsidRDefault="0090496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4879906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28A22A3E" w:rsidR="0062499C" w:rsidRDefault="00A816AC" w:rsidP="00BE60FA">
      <w:pPr>
        <w:ind w:firstLine="340"/>
      </w:pPr>
      <w:r w:rsidRPr="00061962">
        <w:rPr>
          <w:rFonts w:cs="Times New Roman"/>
          <w:lang w:eastAsia="x-none"/>
        </w:rPr>
        <w:t>Předmětem</w:t>
      </w:r>
      <w:bookmarkEnd w:id="5"/>
      <w:r w:rsidR="00BE60FA">
        <w:t xml:space="preserve"> </w:t>
      </w:r>
      <w:r w:rsidR="00044DDF">
        <w:t xml:space="preserve">projektu je laboratoř </w:t>
      </w:r>
      <w:r w:rsidR="00044DDF" w:rsidRPr="00044DDF">
        <w:t>přípravy a analýzy</w:t>
      </w:r>
      <w:r w:rsidR="002710F0">
        <w:t>,</w:t>
      </w:r>
      <w:r w:rsidR="00044DDF">
        <w:t xml:space="preserve"> která slouží k úpravám materiálů pro následné použití v laboratořích a na zařízeních budovy </w:t>
      </w:r>
      <w:proofErr w:type="spellStart"/>
      <w:r w:rsidR="00044DDF">
        <w:t>CEETe</w:t>
      </w:r>
      <w:proofErr w:type="spellEnd"/>
      <w:r w:rsidR="00044DDF">
        <w:t>. Materiál je po dobu</w:t>
      </w:r>
      <w:r w:rsidR="002710F0">
        <w:t xml:space="preserve"> nezbytně nutnou pro</w:t>
      </w:r>
      <w:r w:rsidR="00044DDF">
        <w:t xml:space="preserve"> testování </w:t>
      </w:r>
      <w:r w:rsidR="002710F0">
        <w:t>umístěn</w:t>
      </w:r>
      <w:r w:rsidR="00044DDF">
        <w:t xml:space="preserve"> ve </w:t>
      </w:r>
      <w:r w:rsidR="002710F0">
        <w:t xml:space="preserve">skladu paliv. V laboratoří dochází především vlivem mechanického působení k destrukci částic na menší rozměr.  </w:t>
      </w:r>
      <w:r w:rsidR="00044DDF">
        <w:t xml:space="preserve"> </w:t>
      </w:r>
    </w:p>
    <w:p w14:paraId="50EE29F0" w14:textId="77777777" w:rsidR="00044DDF" w:rsidRDefault="00044DDF" w:rsidP="00BE60FA">
      <w:pPr>
        <w:ind w:firstLine="340"/>
      </w:pP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4879907"/>
      <w:r w:rsidRPr="00C510EE">
        <w:t>POPIS TECHNICKÉHO ŘEŠENÍ</w:t>
      </w:r>
      <w:bookmarkEnd w:id="6"/>
    </w:p>
    <w:p w14:paraId="1C2975E6" w14:textId="77777777" w:rsidR="00087A9A" w:rsidRDefault="00087A9A" w:rsidP="00087A9A"/>
    <w:p w14:paraId="0D0A28A5" w14:textId="77777777" w:rsidR="001A3683" w:rsidRDefault="001A3683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7B27FFE1" w14:textId="65F58E46" w:rsidR="001B2199" w:rsidRPr="00611629" w:rsidRDefault="002710F0" w:rsidP="00611629">
      <w:pPr>
        <w:shd w:val="clear" w:color="auto" w:fill="FFFFFF"/>
        <w:spacing w:line="276" w:lineRule="auto"/>
        <w:jc w:val="both"/>
        <w:rPr>
          <w:rStyle w:val="Hypertextovodkaz"/>
          <w:color w:val="auto"/>
          <w:u w:val="none"/>
        </w:rPr>
      </w:pPr>
      <w:r w:rsidRPr="002710F0">
        <w:rPr>
          <w:rFonts w:cs="Times New Roman"/>
          <w:lang w:eastAsia="x-none"/>
        </w:rPr>
        <w:t xml:space="preserve">Laboratoř </w:t>
      </w:r>
      <w:r w:rsidRPr="002710F0">
        <w:t>přípravy</w:t>
      </w:r>
      <w:r w:rsidRPr="00044DDF">
        <w:t xml:space="preserve"> a analýzy</w:t>
      </w:r>
      <w:r>
        <w:t xml:space="preserve"> je umístěna v druhém patře v místnosti </w:t>
      </w:r>
      <w:r w:rsidRPr="00611629">
        <w:t>č</w:t>
      </w:r>
      <w:r w:rsidR="00611629" w:rsidRPr="00611629">
        <w:t>.225</w:t>
      </w:r>
      <w:r w:rsidRPr="00611629">
        <w:t xml:space="preserve">. </w:t>
      </w:r>
      <w:r w:rsidR="001B2199" w:rsidRPr="00611629">
        <w:rPr>
          <w:rFonts w:cs="Times New Roman"/>
          <w:lang w:eastAsia="x-none"/>
        </w:rPr>
        <w:t>Napájení</w:t>
      </w:r>
      <w:r w:rsidR="001B2199" w:rsidRPr="00721BA4">
        <w:rPr>
          <w:rFonts w:cs="Times New Roman"/>
          <w:lang w:eastAsia="x-none"/>
        </w:rPr>
        <w:t xml:space="preserve"> bude realizováno přes podružný rozvaděč umístěný v místnosti.</w:t>
      </w:r>
      <w:r w:rsidR="001B2199">
        <w:rPr>
          <w:rFonts w:cs="Times New Roman"/>
          <w:lang w:eastAsia="x-none"/>
        </w:rPr>
        <w:t xml:space="preserve"> </w:t>
      </w:r>
      <w:r>
        <w:t xml:space="preserve">Místnost bude vybavena zařízeními pro mechanickou rozměrovou úpravu materiálu: </w:t>
      </w:r>
      <w:r w:rsidRPr="001B2199">
        <w:t>laboratorní čelisťový drtič,</w:t>
      </w:r>
      <w:r w:rsidR="001B2199" w:rsidRPr="001B2199">
        <w:t xml:space="preserve"> </w:t>
      </w:r>
      <w:r w:rsidRPr="001B2199">
        <w:t xml:space="preserve">laboratorní nožový mlýn, talířový mlýn, laboratorní vibrační mlýn, laboratorní homogenizátor, zařízení pro laboratorní nebo poloprovozní mísení suchých materiálů. </w:t>
      </w:r>
      <w:r w:rsidR="001B2199" w:rsidRPr="001B2199">
        <w:rPr>
          <w:rFonts w:cs="Times New Roman"/>
          <w:lang w:eastAsia="x-none"/>
        </w:rPr>
        <w:t>Bude zde docházet k mísení materiálů, kde k primární vsázce materiálu budou přidávány další vsázky materiálů, které budou ovlivňovat výsledné vlastnosti primárního materiálu. Následně bude vzorek homogenizován. Budou zde také probíhat analýzy vzorků (</w:t>
      </w:r>
      <w:proofErr w:type="spellStart"/>
      <w:r w:rsidR="001B2199" w:rsidRPr="001B2199">
        <w:rPr>
          <w:rFonts w:cs="Times New Roman"/>
          <w:lang w:eastAsia="x-none"/>
        </w:rPr>
        <w:t>granulometrie</w:t>
      </w:r>
      <w:proofErr w:type="spellEnd"/>
      <w:r w:rsidR="001B2199" w:rsidRPr="001B2199">
        <w:rPr>
          <w:rFonts w:cs="Times New Roman"/>
          <w:lang w:eastAsia="x-none"/>
        </w:rPr>
        <w:t>, sypný úhel, sypná hmotnost, aj.)</w:t>
      </w:r>
      <w:r w:rsidR="001B2199">
        <w:rPr>
          <w:rFonts w:cs="Times New Roman"/>
          <w:lang w:eastAsia="x-none"/>
        </w:rPr>
        <w:t xml:space="preserve"> </w:t>
      </w:r>
      <w:r>
        <w:t xml:space="preserve">Pro sušení materiálu bude v laboratoři umístěna </w:t>
      </w:r>
      <w:r w:rsidR="001B2199" w:rsidRPr="00F75ED5">
        <w:rPr>
          <w:rFonts w:asciiTheme="minorHAnsi" w:hAnsiTheme="minorHAnsi" w:cstheme="minorHAnsi"/>
          <w:bCs/>
          <w:kern w:val="36"/>
          <w:sz w:val="22"/>
          <w:lang w:eastAsia="cs-CZ"/>
        </w:rPr>
        <w:t xml:space="preserve">horkovzdušná </w:t>
      </w:r>
      <w:r w:rsidR="001B2199">
        <w:rPr>
          <w:rFonts w:asciiTheme="minorHAnsi" w:hAnsiTheme="minorHAnsi" w:cstheme="minorHAnsi"/>
          <w:bCs/>
          <w:kern w:val="36"/>
          <w:sz w:val="22"/>
          <w:lang w:eastAsia="cs-CZ"/>
        </w:rPr>
        <w:t>s</w:t>
      </w:r>
      <w:r w:rsidR="001B2199" w:rsidRPr="00F75ED5">
        <w:rPr>
          <w:rFonts w:asciiTheme="minorHAnsi" w:hAnsiTheme="minorHAnsi" w:cstheme="minorHAnsi"/>
          <w:bCs/>
          <w:kern w:val="36"/>
          <w:sz w:val="22"/>
          <w:lang w:eastAsia="cs-CZ"/>
        </w:rPr>
        <w:t>ušárna Binder FP</w:t>
      </w:r>
      <w:r w:rsidR="001B2199" w:rsidRPr="00A84C7F">
        <w:rPr>
          <w:rFonts w:asciiTheme="minorHAnsi" w:hAnsiTheme="minorHAnsi" w:cstheme="minorHAnsi"/>
          <w:bCs/>
          <w:kern w:val="36"/>
          <w:sz w:val="22"/>
          <w:lang w:eastAsia="cs-CZ"/>
        </w:rPr>
        <w:t>, typ: FP400</w:t>
      </w:r>
      <w:r>
        <w:t xml:space="preserve"> </w:t>
      </w:r>
      <w:r w:rsidR="001B2199">
        <w:t xml:space="preserve">vzorků. </w:t>
      </w:r>
      <w:r w:rsidR="00044DDF">
        <w:t xml:space="preserve">Součástí této laboratoře je také váhovna, která je ovšem pro speciální požadavky umístěna v samostatné </w:t>
      </w:r>
      <w:r w:rsidR="00044DDF" w:rsidRPr="00611629">
        <w:t>místnosti</w:t>
      </w:r>
      <w:r w:rsidR="001B2199" w:rsidRPr="00611629">
        <w:t xml:space="preserve"> č. </w:t>
      </w:r>
      <w:r w:rsidR="00611629">
        <w:t>221</w:t>
      </w:r>
      <w:r w:rsidR="00044DDF" w:rsidRPr="00611629">
        <w:t>.</w:t>
      </w:r>
      <w:r w:rsidR="00044DDF">
        <w:t xml:space="preserve"> </w:t>
      </w:r>
      <w:r w:rsidR="001B2199">
        <w:t xml:space="preserve">Pro rozdělení materiálu dle </w:t>
      </w:r>
      <w:proofErr w:type="spellStart"/>
      <w:r w:rsidR="001B2199">
        <w:t>granulometrie</w:t>
      </w:r>
      <w:proofErr w:type="spellEnd"/>
      <w:r w:rsidR="001B2199">
        <w:t xml:space="preserve">, bude umístěno v laboratoři síťovací zařízení. Dále bude v laboratoři umístěna žíhací pec. V laboratoři bude umístěn také </w:t>
      </w:r>
      <w:proofErr w:type="spellStart"/>
      <w:r w:rsidR="00611629">
        <w:t>t</w:t>
      </w:r>
      <w:r w:rsidR="001B2199" w:rsidRPr="00611629">
        <w:t>rinokulární</w:t>
      </w:r>
      <w:proofErr w:type="spellEnd"/>
      <w:r w:rsidR="001B2199" w:rsidRPr="00611629">
        <w:t xml:space="preserve"> mikroskop s digitální kamerou pro záznam a možnosti připojení k</w:t>
      </w:r>
      <w:r w:rsidR="00611629">
        <w:t> </w:t>
      </w:r>
      <w:r w:rsidR="001B2199" w:rsidRPr="00611629">
        <w:t>PC</w:t>
      </w:r>
      <w:r w:rsidR="00611629">
        <w:t xml:space="preserve">. </w:t>
      </w:r>
      <w:r w:rsidR="001B2199">
        <w:rPr>
          <w:rFonts w:cs="Times New Roman"/>
          <w:bCs/>
          <w:lang w:eastAsia="x-none"/>
        </w:rPr>
        <w:t xml:space="preserve">Pro potřeby odsávaní prachových částic, které mohou vznikat při procesech úpravy, homogenizace a zpracování materiálu do formy pelet je v místnosti navrženo filtrační zařízení. Do laboratoře </w:t>
      </w:r>
      <w:r w:rsidR="001B2199" w:rsidRPr="002710F0">
        <w:t>přípravy</w:t>
      </w:r>
      <w:r w:rsidR="001B2199" w:rsidRPr="00044DDF">
        <w:t xml:space="preserve"> a analýzy</w:t>
      </w:r>
      <w:r w:rsidR="001B2199">
        <w:rPr>
          <w:rFonts w:cs="Times New Roman"/>
          <w:bCs/>
          <w:lang w:eastAsia="x-none"/>
        </w:rPr>
        <w:t xml:space="preserve"> bude přiveden stlačený vzduch pro potřeby čistění a ofukování zařízení od prachových částic. V laboratoři budou umístěny skříně, kde bude možno uschovat náhradní díly zařízení pro jejich servis a základní nářadí. Dále bude v laboratoři umístěn pracovní stůl a dva kusy židlí. </w:t>
      </w:r>
    </w:p>
    <w:p w14:paraId="0900B8FF" w14:textId="77777777" w:rsidR="00BE60FA" w:rsidRPr="009416BD" w:rsidRDefault="00BE60FA" w:rsidP="009416BD">
      <w:pPr>
        <w:ind w:firstLine="340"/>
        <w:rPr>
          <w:rFonts w:cs="Times New Roman"/>
          <w:lang w:eastAsia="x-none"/>
        </w:rPr>
      </w:pP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7" w:name="_Toc54879908"/>
      <w:r w:rsidRPr="00FD6953">
        <w:t>TECHNICKÉ ÚDAJE</w:t>
      </w:r>
      <w:bookmarkEnd w:id="7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3E581E66" w14:textId="63DC43F3" w:rsidR="0062499C" w:rsidRPr="0062499C" w:rsidRDefault="0062499C" w:rsidP="00022565">
      <w:pPr>
        <w:suppressAutoHyphens w:val="0"/>
        <w:spacing w:line="360" w:lineRule="auto"/>
        <w:ind w:firstLine="340"/>
        <w:jc w:val="both"/>
        <w:outlineLvl w:val="1"/>
        <w:rPr>
          <w:rFonts w:cs="Times New Roman"/>
          <w:lang w:eastAsia="x-none"/>
        </w:rPr>
      </w:pPr>
      <w:proofErr w:type="spellStart"/>
      <w:r w:rsidRPr="0062499C">
        <w:rPr>
          <w:rFonts w:cs="Times New Roman"/>
          <w:lang w:eastAsia="x-none"/>
        </w:rPr>
        <w:t>Zastavě</w:t>
      </w:r>
      <w:proofErr w:type="spellEnd"/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8" w:name="_Toc54879909"/>
      <w:r w:rsidRPr="00FD6953">
        <w:t>ZÁVĚ</w:t>
      </w:r>
      <w:r w:rsidR="00087A9A">
        <w:t>R</w:t>
      </w:r>
      <w:bookmarkEnd w:id="8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A18B30" w14:textId="1427B4E5" w:rsidR="001A3683" w:rsidRPr="001A3683" w:rsidRDefault="002D215C" w:rsidP="001A3683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BA985" w14:textId="77777777" w:rsidR="002E3313" w:rsidRDefault="002E3313" w:rsidP="00A816AC">
      <w:r>
        <w:separator/>
      </w:r>
    </w:p>
  </w:endnote>
  <w:endnote w:type="continuationSeparator" w:id="0">
    <w:p w14:paraId="4A88E1A5" w14:textId="77777777" w:rsidR="002E3313" w:rsidRDefault="002E3313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7EB2B6A3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022565">
      <w:t>6</w:t>
    </w:r>
    <w:r w:rsidR="001A3683" w:rsidRPr="00BC09D9">
      <w:t xml:space="preserve">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611629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611629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8CD90" w14:textId="77777777" w:rsidR="002E3313" w:rsidRDefault="002E3313" w:rsidP="00A816AC">
      <w:r>
        <w:separator/>
      </w:r>
    </w:p>
  </w:footnote>
  <w:footnote w:type="continuationSeparator" w:id="0">
    <w:p w14:paraId="710DDC48" w14:textId="77777777" w:rsidR="002E3313" w:rsidRDefault="002E3313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9612C7"/>
    <w:multiLevelType w:val="hybridMultilevel"/>
    <w:tmpl w:val="0936ACE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12"/>
  </w:num>
  <w:num w:numId="12">
    <w:abstractNumId w:val="9"/>
  </w:num>
  <w:num w:numId="13">
    <w:abstractNumId w:val="16"/>
  </w:num>
  <w:num w:numId="14">
    <w:abstractNumId w:val="8"/>
  </w:num>
  <w:num w:numId="15">
    <w:abstractNumId w:val="20"/>
  </w:num>
  <w:num w:numId="16">
    <w:abstractNumId w:val="19"/>
  </w:num>
  <w:num w:numId="17">
    <w:abstractNumId w:val="7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22565"/>
    <w:rsid w:val="0002329A"/>
    <w:rsid w:val="00027DB8"/>
    <w:rsid w:val="00042177"/>
    <w:rsid w:val="00044DDF"/>
    <w:rsid w:val="00061962"/>
    <w:rsid w:val="00087A9A"/>
    <w:rsid w:val="000D4978"/>
    <w:rsid w:val="00145CE1"/>
    <w:rsid w:val="00161D8F"/>
    <w:rsid w:val="001647F9"/>
    <w:rsid w:val="001A3683"/>
    <w:rsid w:val="001B2199"/>
    <w:rsid w:val="001C390B"/>
    <w:rsid w:val="001E1308"/>
    <w:rsid w:val="001E5B19"/>
    <w:rsid w:val="002201EA"/>
    <w:rsid w:val="00233861"/>
    <w:rsid w:val="0024620E"/>
    <w:rsid w:val="002710F0"/>
    <w:rsid w:val="002A00A8"/>
    <w:rsid w:val="002C5723"/>
    <w:rsid w:val="002D215C"/>
    <w:rsid w:val="002E3313"/>
    <w:rsid w:val="00305366"/>
    <w:rsid w:val="00321E68"/>
    <w:rsid w:val="00341EC6"/>
    <w:rsid w:val="003818F6"/>
    <w:rsid w:val="00395DBC"/>
    <w:rsid w:val="003B0565"/>
    <w:rsid w:val="003D7C39"/>
    <w:rsid w:val="003E33AB"/>
    <w:rsid w:val="003E5397"/>
    <w:rsid w:val="00410765"/>
    <w:rsid w:val="00417A2F"/>
    <w:rsid w:val="004C33C7"/>
    <w:rsid w:val="004C5FBF"/>
    <w:rsid w:val="005361B2"/>
    <w:rsid w:val="00581136"/>
    <w:rsid w:val="00590B2C"/>
    <w:rsid w:val="00592C28"/>
    <w:rsid w:val="005B3691"/>
    <w:rsid w:val="005D27FD"/>
    <w:rsid w:val="005E4C18"/>
    <w:rsid w:val="00611629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4D75"/>
    <w:rsid w:val="00865922"/>
    <w:rsid w:val="008A29C0"/>
    <w:rsid w:val="008B2208"/>
    <w:rsid w:val="008F6347"/>
    <w:rsid w:val="0090496A"/>
    <w:rsid w:val="009132E9"/>
    <w:rsid w:val="009416BD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C09D9"/>
    <w:rsid w:val="00BE60FA"/>
    <w:rsid w:val="00C05FF8"/>
    <w:rsid w:val="00C242B0"/>
    <w:rsid w:val="00C510EE"/>
    <w:rsid w:val="00C73110"/>
    <w:rsid w:val="00CB38AE"/>
    <w:rsid w:val="00CE02F5"/>
    <w:rsid w:val="00CF47CF"/>
    <w:rsid w:val="00D01812"/>
    <w:rsid w:val="00D222BF"/>
    <w:rsid w:val="00D57493"/>
    <w:rsid w:val="00DA3D13"/>
    <w:rsid w:val="00E168FB"/>
    <w:rsid w:val="00E26925"/>
    <w:rsid w:val="00E53AD7"/>
    <w:rsid w:val="00E926AC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docId w15:val="{9891B18A-F7C9-4281-AD80-85143456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9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6E9CA5-D489-45C3-AAA1-B9C199FEA6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Cieslar Martin</dc:creator>
  <cp:lastModifiedBy>Cieslar Martin | CHVÁLEK ATELIÉR</cp:lastModifiedBy>
  <cp:revision>4</cp:revision>
  <cp:lastPrinted>2020-11-26T12:51:00Z</cp:lastPrinted>
  <dcterms:created xsi:type="dcterms:W3CDTF">2020-11-02T04:46:00Z</dcterms:created>
  <dcterms:modified xsi:type="dcterms:W3CDTF">2020-11-26T12:51:00Z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